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D1" w:rsidRPr="009F668B" w:rsidRDefault="005E41D1" w:rsidP="000E7BA6">
      <w:pPr>
        <w:rPr>
          <w:rFonts w:asciiTheme="majorHAnsi" w:hAnsiTheme="majorHAnsi"/>
        </w:rPr>
      </w:pPr>
    </w:p>
    <w:p w:rsidR="000E7BA6" w:rsidRPr="009F668B" w:rsidRDefault="000E7BA6" w:rsidP="000E7BA6">
      <w:pPr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</w:pPr>
      <w:r w:rsidRPr="009F668B"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  <w:t>NewYork-Presbyterian/Queens PPS</w:t>
      </w:r>
    </w:p>
    <w:p w:rsidR="000E7BA6" w:rsidRPr="009F668B" w:rsidRDefault="000E7BA6" w:rsidP="000E7BA6">
      <w:pPr>
        <w:spacing w:after="0" w:line="240" w:lineRule="auto"/>
        <w:jc w:val="center"/>
        <w:rPr>
          <w:rFonts w:asciiTheme="majorHAnsi" w:eastAsia="Times New Roman" w:hAnsiTheme="majorHAnsi" w:cs="Calibri"/>
          <w:sz w:val="28"/>
        </w:rPr>
      </w:pPr>
      <w:r w:rsidRPr="009F668B">
        <w:rPr>
          <w:rFonts w:asciiTheme="majorHAnsi" w:eastAsia="Times New Roman" w:hAnsiTheme="majorHAnsi" w:cs="Calibri"/>
          <w:sz w:val="28"/>
        </w:rPr>
        <w:t>Project 4.c.ii – HIV Partner Collaboration</w:t>
      </w:r>
    </w:p>
    <w:p w:rsidR="000E7BA6" w:rsidRPr="009F668B" w:rsidRDefault="000E7BA6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 w:rsidRPr="009F668B">
        <w:rPr>
          <w:rFonts w:asciiTheme="majorHAnsi" w:eastAsia="Times New Roman" w:hAnsiTheme="majorHAnsi" w:cs="Calibri"/>
          <w:i/>
        </w:rPr>
        <w:t>Project Committee Meeting</w:t>
      </w:r>
    </w:p>
    <w:p w:rsidR="000E7BA6" w:rsidRPr="009F668B" w:rsidRDefault="00F6601B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 w:rsidRPr="009F668B">
        <w:rPr>
          <w:rFonts w:asciiTheme="majorHAnsi" w:eastAsia="Times New Roman" w:hAnsiTheme="majorHAnsi" w:cs="Calibri"/>
          <w:i/>
        </w:rPr>
        <w:t>June 2</w:t>
      </w:r>
      <w:r w:rsidRPr="009F668B">
        <w:rPr>
          <w:rFonts w:asciiTheme="majorHAnsi" w:eastAsia="Times New Roman" w:hAnsiTheme="majorHAnsi" w:cs="Calibri"/>
          <w:i/>
          <w:vertAlign w:val="superscript"/>
        </w:rPr>
        <w:t>nd</w:t>
      </w:r>
      <w:r w:rsidRPr="009F668B">
        <w:rPr>
          <w:rFonts w:asciiTheme="majorHAnsi" w:eastAsia="Times New Roman" w:hAnsiTheme="majorHAnsi" w:cs="Calibri"/>
          <w:i/>
        </w:rPr>
        <w:t xml:space="preserve"> 2016 </w:t>
      </w:r>
      <w:r w:rsidR="000E7BA6" w:rsidRPr="009F668B">
        <w:rPr>
          <w:rFonts w:asciiTheme="majorHAnsi" w:eastAsia="Times New Roman" w:hAnsiTheme="majorHAnsi" w:cs="Calibri"/>
          <w:i/>
        </w:rPr>
        <w:t>1:</w:t>
      </w:r>
      <w:r w:rsidR="00D469CC" w:rsidRPr="009F668B">
        <w:rPr>
          <w:rFonts w:asciiTheme="majorHAnsi" w:eastAsia="Times New Roman" w:hAnsiTheme="majorHAnsi" w:cs="Calibri"/>
          <w:i/>
        </w:rPr>
        <w:t>3</w:t>
      </w:r>
      <w:r w:rsidR="000E7BA6" w:rsidRPr="009F668B">
        <w:rPr>
          <w:rFonts w:asciiTheme="majorHAnsi" w:eastAsia="Times New Roman" w:hAnsiTheme="majorHAnsi" w:cs="Calibri"/>
          <w:i/>
        </w:rPr>
        <w:t xml:space="preserve">0pm – </w:t>
      </w:r>
      <w:r w:rsidRPr="009F668B">
        <w:rPr>
          <w:rFonts w:asciiTheme="majorHAnsi" w:eastAsia="Times New Roman" w:hAnsiTheme="majorHAnsi" w:cs="Calibri"/>
          <w:i/>
        </w:rPr>
        <w:t>2</w:t>
      </w:r>
      <w:r w:rsidR="000E7BA6" w:rsidRPr="009F668B">
        <w:rPr>
          <w:rFonts w:asciiTheme="majorHAnsi" w:eastAsia="Times New Roman" w:hAnsiTheme="majorHAnsi" w:cs="Calibri"/>
          <w:i/>
        </w:rPr>
        <w:t>:</w:t>
      </w:r>
      <w:r w:rsidR="00D469CC" w:rsidRPr="009F668B">
        <w:rPr>
          <w:rFonts w:asciiTheme="majorHAnsi" w:eastAsia="Times New Roman" w:hAnsiTheme="majorHAnsi" w:cs="Calibri"/>
          <w:i/>
        </w:rPr>
        <w:t>3</w:t>
      </w:r>
      <w:r w:rsidR="000E7BA6" w:rsidRPr="009F668B">
        <w:rPr>
          <w:rFonts w:asciiTheme="majorHAnsi" w:eastAsia="Times New Roman" w:hAnsiTheme="majorHAnsi" w:cs="Calibri"/>
          <w:i/>
        </w:rPr>
        <w:t>0pm EST</w:t>
      </w:r>
    </w:p>
    <w:p w:rsidR="000E7BA6" w:rsidRPr="009F668B" w:rsidRDefault="000E7BA6" w:rsidP="000E7BA6">
      <w:pPr>
        <w:tabs>
          <w:tab w:val="left" w:pos="7864"/>
        </w:tabs>
        <w:spacing w:after="0" w:line="240" w:lineRule="auto"/>
        <w:rPr>
          <w:rFonts w:asciiTheme="majorHAnsi" w:eastAsia="Times New Roman" w:hAnsiTheme="majorHAnsi" w:cs="Calibri"/>
          <w:i/>
        </w:rPr>
      </w:pPr>
      <w:r w:rsidRPr="009F668B">
        <w:rPr>
          <w:rFonts w:asciiTheme="majorHAnsi" w:eastAsia="Times New Roman" w:hAnsiTheme="majorHAnsi" w:cs="Calibri"/>
          <w:i/>
        </w:rPr>
        <w:tab/>
      </w:r>
    </w:p>
    <w:p w:rsidR="000E7BA6" w:rsidRPr="009F668B" w:rsidRDefault="000E7BA6" w:rsidP="000E7BA6">
      <w:pPr>
        <w:rPr>
          <w:rFonts w:asciiTheme="majorHAnsi" w:eastAsia="Times New Roman" w:hAnsiTheme="majorHAnsi" w:cstheme="minorHAnsi"/>
        </w:rPr>
      </w:pPr>
      <w:r w:rsidRPr="009F668B">
        <w:rPr>
          <w:rFonts w:asciiTheme="majorHAnsi" w:eastAsia="Times New Roman" w:hAnsiTheme="majorHAnsi" w:cstheme="minorHAnsi"/>
          <w:b/>
          <w:bCs/>
          <w:sz w:val="24"/>
          <w:szCs w:val="24"/>
        </w:rPr>
        <w:t>Attendees</w:t>
      </w:r>
      <w:r w:rsidRPr="009F668B">
        <w:rPr>
          <w:rFonts w:asciiTheme="majorHAnsi" w:eastAsia="Times New Roman" w:hAnsiTheme="majorHAnsi" w:cstheme="minorHAnsi"/>
        </w:rPr>
        <w:t>:</w:t>
      </w:r>
      <w:r w:rsidR="00615404" w:rsidRPr="009F668B">
        <w:rPr>
          <w:rFonts w:asciiTheme="majorHAnsi" w:eastAsia="Times New Roman" w:hAnsiTheme="majorHAnsi" w:cstheme="minorHAnsi"/>
        </w:rPr>
        <w:t xml:space="preserve"> </w:t>
      </w:r>
      <w:r w:rsidRPr="009F668B">
        <w:rPr>
          <w:rFonts w:asciiTheme="majorHAnsi" w:eastAsia="Times New Roman" w:hAnsiTheme="majorHAnsi" w:cstheme="minorHAnsi"/>
        </w:rPr>
        <w:t>K. Francois (NYP), D Rubin (NYPQ), S Williams</w:t>
      </w:r>
      <w:r w:rsidR="00615404" w:rsidRPr="009F668B">
        <w:rPr>
          <w:rFonts w:asciiTheme="majorHAnsi" w:eastAsia="Times New Roman" w:hAnsiTheme="majorHAnsi" w:cstheme="minorHAnsi"/>
        </w:rPr>
        <w:t xml:space="preserve"> </w:t>
      </w:r>
      <w:r w:rsidRPr="009F668B">
        <w:rPr>
          <w:rFonts w:asciiTheme="majorHAnsi" w:eastAsia="Times New Roman" w:hAnsiTheme="majorHAnsi" w:cstheme="minorHAnsi"/>
        </w:rPr>
        <w:t xml:space="preserve">(Brightpoint), R Lopez (ACQC),  R.J Hopkins (Total Care Rx)C. Jennings </w:t>
      </w:r>
      <w:r w:rsidR="00D469CC" w:rsidRPr="009F668B">
        <w:rPr>
          <w:rFonts w:asciiTheme="majorHAnsi" w:eastAsia="Times New Roman" w:hAnsiTheme="majorHAnsi" w:cstheme="minorHAnsi"/>
        </w:rPr>
        <w:t>((Total Care Rx),</w:t>
      </w:r>
      <w:r w:rsidR="00F6601B" w:rsidRPr="009F668B">
        <w:rPr>
          <w:rFonts w:asciiTheme="majorHAnsi" w:eastAsia="Times New Roman" w:hAnsiTheme="majorHAnsi" w:cstheme="minorHAnsi"/>
        </w:rPr>
        <w:t>L</w:t>
      </w:r>
      <w:r w:rsidR="00D469CC" w:rsidRPr="009F668B">
        <w:rPr>
          <w:rFonts w:asciiTheme="majorHAnsi" w:eastAsia="Times New Roman" w:hAnsiTheme="majorHAnsi" w:cstheme="minorHAnsi"/>
        </w:rPr>
        <w:t xml:space="preserve"> </w:t>
      </w:r>
      <w:r w:rsidRPr="009F668B">
        <w:rPr>
          <w:rFonts w:asciiTheme="majorHAnsi" w:eastAsia="Times New Roman" w:hAnsiTheme="majorHAnsi" w:cstheme="minorHAnsi"/>
        </w:rPr>
        <w:t xml:space="preserve"> </w:t>
      </w:r>
      <w:r w:rsidR="00C27940" w:rsidRPr="009F668B">
        <w:rPr>
          <w:rFonts w:asciiTheme="majorHAnsi" w:eastAsia="Times New Roman" w:hAnsiTheme="majorHAnsi" w:cstheme="minorHAnsi"/>
        </w:rPr>
        <w:t>Mc</w:t>
      </w:r>
      <w:r w:rsidR="00F6601B" w:rsidRPr="009F668B">
        <w:rPr>
          <w:rFonts w:asciiTheme="majorHAnsi" w:eastAsia="Times New Roman" w:hAnsiTheme="majorHAnsi" w:cstheme="minorHAnsi"/>
        </w:rPr>
        <w:t>C</w:t>
      </w:r>
      <w:r w:rsidR="00C27940" w:rsidRPr="009F668B">
        <w:rPr>
          <w:rFonts w:asciiTheme="majorHAnsi" w:eastAsia="Times New Roman" w:hAnsiTheme="majorHAnsi" w:cstheme="minorHAnsi"/>
        </w:rPr>
        <w:t xml:space="preserve">onnel (NYP/Q), K. Philemon (Elmcor), T Pennerman (Elmcor) </w:t>
      </w:r>
      <w:r w:rsidRPr="009F668B">
        <w:rPr>
          <w:rFonts w:asciiTheme="majorHAnsi" w:eastAsia="Times New Roman" w:hAnsiTheme="majorHAnsi" w:cstheme="minorHAnsi"/>
        </w:rPr>
        <w:t>, A. Simmons (NYP/Q),</w:t>
      </w:r>
      <w:r w:rsidR="00C27940" w:rsidRPr="009F668B">
        <w:rPr>
          <w:rFonts w:asciiTheme="majorHAnsi" w:eastAsia="Times New Roman" w:hAnsiTheme="majorHAnsi" w:cstheme="minorHAnsi"/>
        </w:rPr>
        <w:t xml:space="preserve"> </w:t>
      </w:r>
      <w:r w:rsidR="00D469CC" w:rsidRPr="009F668B">
        <w:rPr>
          <w:rFonts w:asciiTheme="majorHAnsi" w:eastAsia="Times New Roman" w:hAnsiTheme="majorHAnsi" w:cstheme="minorHAnsi"/>
        </w:rPr>
        <w:t xml:space="preserve">C. Velasco (NYP/Q) </w:t>
      </w:r>
      <w:r w:rsidR="00F6601B" w:rsidRPr="009F668B">
        <w:rPr>
          <w:rFonts w:asciiTheme="majorHAnsi" w:eastAsia="Times New Roman" w:hAnsiTheme="majorHAnsi" w:cstheme="minorHAnsi"/>
        </w:rPr>
        <w:t xml:space="preserve">, C. Dunkley (NYPQ), S. Kalinowski (NYPQ) , M. Hay (NYPQ)C. Velasco (NYPQ) </w:t>
      </w:r>
      <w:r w:rsidRPr="009F668B">
        <w:rPr>
          <w:rFonts w:asciiTheme="majorHAnsi" w:eastAsia="Times New Roman" w:hAnsiTheme="majorHAnsi" w:cstheme="minorHAnsi"/>
        </w:rPr>
        <w:t xml:space="preserve"> </w:t>
      </w:r>
    </w:p>
    <w:tbl>
      <w:tblPr>
        <w:tblW w:w="5328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5333"/>
        <w:gridCol w:w="2567"/>
      </w:tblGrid>
      <w:tr w:rsidR="000E7BA6" w:rsidRPr="009F668B" w:rsidTr="001923D4">
        <w:trPr>
          <w:cantSplit/>
          <w:trHeight w:val="395"/>
          <w:tblHeader/>
        </w:trPr>
        <w:tc>
          <w:tcPr>
            <w:tcW w:w="1129" w:type="pct"/>
            <w:shd w:val="clear" w:color="auto" w:fill="365F91"/>
          </w:tcPr>
          <w:p w:rsidR="000E7BA6" w:rsidRPr="009F668B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9F668B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Topic</w:t>
            </w:r>
          </w:p>
        </w:tc>
        <w:tc>
          <w:tcPr>
            <w:tcW w:w="2613" w:type="pct"/>
            <w:shd w:val="clear" w:color="auto" w:fill="365F91"/>
          </w:tcPr>
          <w:p w:rsidR="000E7BA6" w:rsidRPr="009F668B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9F668B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Discussion</w:t>
            </w:r>
          </w:p>
        </w:tc>
        <w:tc>
          <w:tcPr>
            <w:tcW w:w="1258" w:type="pct"/>
            <w:shd w:val="clear" w:color="auto" w:fill="365F91"/>
          </w:tcPr>
          <w:p w:rsidR="000E7BA6" w:rsidRPr="009F668B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9F668B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Actions</w:t>
            </w:r>
          </w:p>
        </w:tc>
      </w:tr>
      <w:tr w:rsidR="000E7BA6" w:rsidRPr="009F668B" w:rsidTr="001923D4">
        <w:trPr>
          <w:trHeight w:val="331"/>
        </w:trPr>
        <w:tc>
          <w:tcPr>
            <w:tcW w:w="1129" w:type="pct"/>
            <w:shd w:val="clear" w:color="auto" w:fill="auto"/>
          </w:tcPr>
          <w:p w:rsidR="000E7BA6" w:rsidRPr="009F668B" w:rsidRDefault="000E7BA6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  <w:t xml:space="preserve"> Agenda:</w:t>
            </w:r>
          </w:p>
          <w:p w:rsidR="000E7BA6" w:rsidRPr="009F668B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</w:p>
        </w:tc>
        <w:tc>
          <w:tcPr>
            <w:tcW w:w="2613" w:type="pct"/>
          </w:tcPr>
          <w:p w:rsidR="000E7BA6" w:rsidRPr="009F668B" w:rsidRDefault="000E7BA6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Welcome &amp; </w:t>
            </w:r>
            <w:r w:rsidR="00615404"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Introductions</w:t>
            </w:r>
          </w:p>
          <w:p w:rsidR="000E7BA6" w:rsidRPr="009F668B" w:rsidRDefault="00D469CC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Review &amp; Approve Meeting minutes</w:t>
            </w:r>
          </w:p>
          <w:p w:rsidR="00F6601B" w:rsidRPr="009F668B" w:rsidRDefault="00D469CC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HIV </w:t>
            </w:r>
            <w:r w:rsidR="00F6601B"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High-need Population Mapping</w:t>
            </w:r>
          </w:p>
          <w:p w:rsidR="00F6601B" w:rsidRPr="009F668B" w:rsidRDefault="00F6601B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Identify Training Needs </w:t>
            </w:r>
          </w:p>
          <w:p w:rsidR="00F6601B" w:rsidRPr="009F668B" w:rsidRDefault="00F6601B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NYS DSRIP HIV </w:t>
            </w:r>
            <w:r w:rsidR="00D469CC"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Outreach</w:t>
            </w: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 Coalition Sub-Committee Volunteers</w:t>
            </w:r>
          </w:p>
          <w:p w:rsidR="00F6601B" w:rsidRPr="009F668B" w:rsidRDefault="00F6601B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Reminder : DY2 Q2 &amp; Q2 Deliverables</w:t>
            </w:r>
          </w:p>
          <w:p w:rsidR="000E7BA6" w:rsidRPr="009F668B" w:rsidRDefault="00D469CC" w:rsidP="00D469CC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Question and Open </w:t>
            </w:r>
            <w:r w:rsidR="00146167"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discussions</w:t>
            </w:r>
          </w:p>
        </w:tc>
        <w:tc>
          <w:tcPr>
            <w:tcW w:w="1258" w:type="pct"/>
          </w:tcPr>
          <w:p w:rsidR="000E7BA6" w:rsidRPr="009F668B" w:rsidRDefault="000E7BA6" w:rsidP="000E7BA6">
            <w:pPr>
              <w:numPr>
                <w:ilvl w:val="0"/>
                <w:numId w:val="1"/>
              </w:numPr>
              <w:contextualSpacing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sz w:val="24"/>
                <w:szCs w:val="24"/>
              </w:rPr>
              <w:t>N/A</w:t>
            </w:r>
          </w:p>
        </w:tc>
      </w:tr>
      <w:tr w:rsidR="000E7BA6" w:rsidRPr="009F668B" w:rsidTr="001923D4">
        <w:trPr>
          <w:trHeight w:val="1502"/>
        </w:trPr>
        <w:tc>
          <w:tcPr>
            <w:tcW w:w="1129" w:type="pct"/>
            <w:shd w:val="clear" w:color="auto" w:fill="auto"/>
          </w:tcPr>
          <w:p w:rsidR="000E7BA6" w:rsidRPr="009F668B" w:rsidRDefault="00146167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  <w:t>Review  Meeting minutes</w:t>
            </w:r>
            <w:r w:rsidR="000E7BA6" w:rsidRPr="009F668B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  <w:t>:</w:t>
            </w:r>
          </w:p>
          <w:p w:rsidR="000E7BA6" w:rsidRPr="009F668B" w:rsidRDefault="00146167" w:rsidP="00146167">
            <w:pPr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Dr. Rubin</w:t>
            </w:r>
          </w:p>
        </w:tc>
        <w:tc>
          <w:tcPr>
            <w:tcW w:w="2613" w:type="pct"/>
          </w:tcPr>
          <w:p w:rsidR="002A7069" w:rsidRPr="009F668B" w:rsidRDefault="00146167" w:rsidP="005843D4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Review Meeting minutes from </w:t>
            </w:r>
            <w:r w:rsidR="005843D4"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4</w:t>
            </w: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/7/116</w:t>
            </w:r>
          </w:p>
        </w:tc>
        <w:tc>
          <w:tcPr>
            <w:tcW w:w="1258" w:type="pct"/>
          </w:tcPr>
          <w:p w:rsidR="000E7BA6" w:rsidRPr="009F668B" w:rsidRDefault="00146167" w:rsidP="002A7069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sz w:val="24"/>
                <w:szCs w:val="24"/>
              </w:rPr>
              <w:t xml:space="preserve">Committee unanimously approved meeting minutes. </w:t>
            </w:r>
          </w:p>
        </w:tc>
      </w:tr>
      <w:tr w:rsidR="000E7BA6" w:rsidRPr="009F668B" w:rsidTr="001923D4">
        <w:trPr>
          <w:trHeight w:val="953"/>
        </w:trPr>
        <w:tc>
          <w:tcPr>
            <w:tcW w:w="1129" w:type="pct"/>
          </w:tcPr>
          <w:p w:rsidR="000E7BA6" w:rsidRPr="009F668B" w:rsidRDefault="00F6601B" w:rsidP="00F6601B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  <w:t>HIV High-need Population Mapping</w:t>
            </w:r>
            <w:r w:rsidR="000E7BA6" w:rsidRPr="009F668B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  <w:t>:</w:t>
            </w:r>
          </w:p>
          <w:p w:rsidR="000E7BA6" w:rsidRPr="009F668B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A. Simmons</w:t>
            </w:r>
          </w:p>
          <w:p w:rsidR="000E7BA6" w:rsidRPr="009F668B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13" w:type="pct"/>
          </w:tcPr>
          <w:p w:rsidR="00A87090" w:rsidRPr="009F668B" w:rsidRDefault="003E10C4" w:rsidP="00DD7DD1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 </w:t>
            </w:r>
            <w:r w:rsidR="00A87090"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The PMO has created a high need population mapping to target the high needs areas in queens. The best </w:t>
            </w:r>
            <w:r w:rsidR="009F668B"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returns on investments are</w:t>
            </w:r>
            <w:r w:rsidR="00A87090"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 Long Island City, Jamaica and the Rockaways.</w:t>
            </w:r>
          </w:p>
          <w:p w:rsidR="009F668B" w:rsidRPr="009F668B" w:rsidRDefault="00A87090" w:rsidP="009F668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Some Focus Groups that should be targeted at NYPQ are the Asian </w:t>
            </w:r>
            <w:r w:rsidR="009F668B"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employees,</w:t>
            </w: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 providers, and </w:t>
            </w:r>
            <w:r w:rsidR="009F668B"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patients. The</w:t>
            </w: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 LGBT community which will include</w:t>
            </w:r>
            <w:r w:rsidR="009F668B"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s training on the LGBT culture such as gender neutral bathrooms.</w:t>
            </w:r>
          </w:p>
          <w:p w:rsidR="00DD7DD1" w:rsidRPr="009F668B" w:rsidRDefault="009F668B" w:rsidP="009F668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The committee discuss the expansion of NYPQ and how to make HIV testing apart of PCP efforts in a seamlessly workflow process.</w:t>
            </w:r>
          </w:p>
        </w:tc>
        <w:tc>
          <w:tcPr>
            <w:tcW w:w="1258" w:type="pct"/>
          </w:tcPr>
          <w:p w:rsidR="000E7BA6" w:rsidRPr="009F668B" w:rsidRDefault="00146167" w:rsidP="000E7BA6">
            <w:pPr>
              <w:numPr>
                <w:ilvl w:val="0"/>
                <w:numId w:val="1"/>
              </w:numPr>
              <w:contextualSpacing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sz w:val="24"/>
                <w:szCs w:val="24"/>
              </w:rPr>
              <w:t xml:space="preserve">Committee must review the strategy document and send PMO feedback. </w:t>
            </w:r>
          </w:p>
        </w:tc>
      </w:tr>
      <w:tr w:rsidR="000E7BA6" w:rsidRPr="009F668B" w:rsidTr="001923D4">
        <w:trPr>
          <w:trHeight w:val="1250"/>
        </w:trPr>
        <w:tc>
          <w:tcPr>
            <w:tcW w:w="1129" w:type="pct"/>
          </w:tcPr>
          <w:p w:rsidR="000E7BA6" w:rsidRPr="009F668B" w:rsidRDefault="00F6601B" w:rsidP="00F6601B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  <w:t>Identify Training Needs</w:t>
            </w: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 </w:t>
            </w:r>
            <w:r w:rsidR="00146167" w:rsidRPr="009F668B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  <w:t>:</w:t>
            </w:r>
          </w:p>
          <w:p w:rsidR="000E7BA6" w:rsidRPr="009F668B" w:rsidRDefault="00146167" w:rsidP="006629BC">
            <w:pPr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Team </w:t>
            </w:r>
          </w:p>
        </w:tc>
        <w:tc>
          <w:tcPr>
            <w:tcW w:w="2613" w:type="pct"/>
          </w:tcPr>
          <w:p w:rsidR="005A4110" w:rsidRPr="009F668B" w:rsidRDefault="003E10C4" w:rsidP="00492DB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If there are training needs from Providers, workforce,  CBOs,</w:t>
            </w:r>
            <w:r w:rsidR="009F668B"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 </w:t>
            </w: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 etc please let the PMO know so we can assist with closing gaps and seeking training for each Partners,</w:t>
            </w:r>
          </w:p>
        </w:tc>
        <w:tc>
          <w:tcPr>
            <w:tcW w:w="1258" w:type="pct"/>
          </w:tcPr>
          <w:p w:rsidR="005A4110" w:rsidRPr="009F668B" w:rsidRDefault="009F668B" w:rsidP="005A4110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sz w:val="24"/>
                <w:szCs w:val="24"/>
              </w:rPr>
              <w:t>Partners please contact</w:t>
            </w:r>
            <w:r w:rsidR="003E10C4" w:rsidRPr="009F668B">
              <w:rPr>
                <w:rFonts w:asciiTheme="majorHAnsi" w:eastAsia="Times New Roman" w:hAnsiTheme="majorHAnsi" w:cs="Calibri"/>
                <w:sz w:val="24"/>
                <w:szCs w:val="24"/>
              </w:rPr>
              <w:t xml:space="preserve"> the PMO with Training needs.</w:t>
            </w:r>
          </w:p>
        </w:tc>
      </w:tr>
      <w:tr w:rsidR="000E7BA6" w:rsidRPr="009F668B" w:rsidTr="001923D4">
        <w:trPr>
          <w:trHeight w:val="1250"/>
        </w:trPr>
        <w:tc>
          <w:tcPr>
            <w:tcW w:w="1129" w:type="pct"/>
          </w:tcPr>
          <w:p w:rsidR="000E7BA6" w:rsidRPr="009F668B" w:rsidRDefault="005843D4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  <w:lastRenderedPageBreak/>
              <w:t>NYS DSRIP HIV Outreach</w:t>
            </w:r>
            <w:r w:rsidR="003E10C4" w:rsidRPr="009F668B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  <w:t xml:space="preserve"> Coalition </w:t>
            </w:r>
            <w:r w:rsidR="000E7BA6" w:rsidRPr="009F668B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  <w:t>:</w:t>
            </w:r>
          </w:p>
          <w:p w:rsidR="005843D4" w:rsidRPr="009F668B" w:rsidRDefault="005843D4" w:rsidP="005843D4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Team</w:t>
            </w:r>
          </w:p>
          <w:p w:rsidR="000E7BA6" w:rsidRPr="009F668B" w:rsidRDefault="000E7BA6" w:rsidP="000E7BA6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</w:p>
        </w:tc>
        <w:tc>
          <w:tcPr>
            <w:tcW w:w="2613" w:type="pct"/>
          </w:tcPr>
          <w:p w:rsidR="005A4110" w:rsidRPr="009F668B" w:rsidRDefault="003E10C4" w:rsidP="003E10C4">
            <w:pPr>
              <w:pStyle w:val="ListParagraph"/>
              <w:numPr>
                <w:ilvl w:val="0"/>
                <w:numId w:val="6"/>
              </w:numP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The DOH has standing sub-committees that each partner can contribute to on behalf of the NYPQ PPS.</w:t>
            </w:r>
            <w:bookmarkStart w:id="0" w:name="_GoBack"/>
            <w:bookmarkEnd w:id="0"/>
          </w:p>
        </w:tc>
        <w:tc>
          <w:tcPr>
            <w:tcW w:w="1258" w:type="pct"/>
          </w:tcPr>
          <w:p w:rsidR="000E7BA6" w:rsidRPr="009F668B" w:rsidRDefault="003E10C4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sz w:val="24"/>
                <w:szCs w:val="24"/>
              </w:rPr>
              <w:t xml:space="preserve">The committee will review and email the PMO with the sub-committee they are interested in. </w:t>
            </w:r>
          </w:p>
        </w:tc>
      </w:tr>
      <w:tr w:rsidR="005843D4" w:rsidRPr="009F668B" w:rsidTr="001923D4">
        <w:trPr>
          <w:trHeight w:val="1250"/>
        </w:trPr>
        <w:tc>
          <w:tcPr>
            <w:tcW w:w="1129" w:type="pct"/>
          </w:tcPr>
          <w:p w:rsidR="005843D4" w:rsidRPr="009F668B" w:rsidRDefault="005843D4" w:rsidP="005843D4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  <w:t>Reminder : DY2 Q2 &amp; Q2 Deliverables</w:t>
            </w:r>
            <w:r w:rsidRPr="009F668B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  <w:t>:</w:t>
            </w:r>
          </w:p>
          <w:p w:rsidR="005843D4" w:rsidRPr="009F668B" w:rsidRDefault="005843D4" w:rsidP="005843D4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Amanda</w:t>
            </w:r>
          </w:p>
        </w:tc>
        <w:tc>
          <w:tcPr>
            <w:tcW w:w="2613" w:type="pct"/>
          </w:tcPr>
          <w:p w:rsidR="003E10C4" w:rsidRPr="009F668B" w:rsidRDefault="003E10C4" w:rsidP="003E10C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9F668B">
              <w:rPr>
                <w:rFonts w:asciiTheme="majorHAnsi" w:hAnsiTheme="majorHAnsi"/>
                <w:sz w:val="24"/>
                <w:szCs w:val="24"/>
              </w:rPr>
              <w:t>Embedded in the agenda the PMO has provided the committee with the deliverables for DY2, Q1 and DY2 Q2.</w:t>
            </w:r>
          </w:p>
        </w:tc>
        <w:tc>
          <w:tcPr>
            <w:tcW w:w="1258" w:type="pct"/>
          </w:tcPr>
          <w:p w:rsidR="005843D4" w:rsidRPr="009F668B" w:rsidRDefault="005843D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E7BA6" w:rsidRPr="009F668B" w:rsidRDefault="000E7BA6" w:rsidP="000E7BA6">
      <w:pPr>
        <w:spacing w:line="240" w:lineRule="auto"/>
        <w:jc w:val="right"/>
        <w:rPr>
          <w:rFonts w:asciiTheme="majorHAnsi" w:eastAsia="Times New Roman" w:hAnsiTheme="majorHAnsi" w:cs="Times New Roman"/>
          <w:b/>
          <w:color w:val="0070C0"/>
          <w:sz w:val="24"/>
          <w:szCs w:val="24"/>
        </w:rPr>
      </w:pPr>
    </w:p>
    <w:p w:rsidR="000E7BA6" w:rsidRPr="009F668B" w:rsidRDefault="000E7BA6" w:rsidP="000E7BA6">
      <w:pPr>
        <w:rPr>
          <w:sz w:val="24"/>
          <w:szCs w:val="24"/>
        </w:rPr>
      </w:pPr>
    </w:p>
    <w:sectPr w:rsidR="000E7BA6" w:rsidRPr="009F668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01B" w:rsidRDefault="00F6601B" w:rsidP="000E7BA6">
      <w:pPr>
        <w:spacing w:after="0" w:line="240" w:lineRule="auto"/>
      </w:pPr>
      <w:r>
        <w:separator/>
      </w:r>
    </w:p>
  </w:endnote>
  <w:endnote w:type="continuationSeparator" w:id="0">
    <w:p w:rsidR="00F6601B" w:rsidRDefault="00F6601B" w:rsidP="000E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01B" w:rsidRDefault="00F6601B" w:rsidP="000E7BA6">
      <w:pPr>
        <w:spacing w:after="0" w:line="240" w:lineRule="auto"/>
      </w:pPr>
      <w:r>
        <w:separator/>
      </w:r>
    </w:p>
  </w:footnote>
  <w:footnote w:type="continuationSeparator" w:id="0">
    <w:p w:rsidR="00F6601B" w:rsidRDefault="00F6601B" w:rsidP="000E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A6" w:rsidRDefault="000E7BA6">
    <w:pPr>
      <w:pStyle w:val="Header"/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5C9E39A7" wp14:editId="3D16AF48">
          <wp:simplePos x="0" y="0"/>
          <wp:positionH relativeFrom="margin">
            <wp:posOffset>-410210</wp:posOffset>
          </wp:positionH>
          <wp:positionV relativeFrom="margin">
            <wp:posOffset>-394335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7BA6" w:rsidRDefault="000E7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140A"/>
    <w:multiLevelType w:val="hybridMultilevel"/>
    <w:tmpl w:val="4C1C6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B95AC4"/>
    <w:multiLevelType w:val="hybridMultilevel"/>
    <w:tmpl w:val="97A62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9A5DE0"/>
    <w:multiLevelType w:val="hybridMultilevel"/>
    <w:tmpl w:val="31144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EA506D"/>
    <w:multiLevelType w:val="hybridMultilevel"/>
    <w:tmpl w:val="F2C40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5699C"/>
    <w:multiLevelType w:val="hybridMultilevel"/>
    <w:tmpl w:val="7DD25E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A6"/>
    <w:rsid w:val="0005768C"/>
    <w:rsid w:val="000E7BA6"/>
    <w:rsid w:val="00146167"/>
    <w:rsid w:val="002A7069"/>
    <w:rsid w:val="002E3C6D"/>
    <w:rsid w:val="0034263E"/>
    <w:rsid w:val="003B688B"/>
    <w:rsid w:val="003E10C4"/>
    <w:rsid w:val="00413E62"/>
    <w:rsid w:val="00492DB8"/>
    <w:rsid w:val="00503F97"/>
    <w:rsid w:val="005843D4"/>
    <w:rsid w:val="005A4110"/>
    <w:rsid w:val="005D0AF9"/>
    <w:rsid w:val="005E41D1"/>
    <w:rsid w:val="00615404"/>
    <w:rsid w:val="006629BC"/>
    <w:rsid w:val="007873E1"/>
    <w:rsid w:val="007B106A"/>
    <w:rsid w:val="0087434E"/>
    <w:rsid w:val="009F668B"/>
    <w:rsid w:val="00A87090"/>
    <w:rsid w:val="00B37DE1"/>
    <w:rsid w:val="00B94B37"/>
    <w:rsid w:val="00C27940"/>
    <w:rsid w:val="00D469CC"/>
    <w:rsid w:val="00DD7DD1"/>
    <w:rsid w:val="00EA5BBA"/>
    <w:rsid w:val="00F6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BBAEC-716D-430E-8A57-2673E47B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Dunley</dc:creator>
  <cp:lastModifiedBy>Coleen Dunley</cp:lastModifiedBy>
  <cp:revision>1</cp:revision>
  <dcterms:created xsi:type="dcterms:W3CDTF">2016-08-09T19:29:00Z</dcterms:created>
  <dcterms:modified xsi:type="dcterms:W3CDTF">2016-08-09T21:20:00Z</dcterms:modified>
</cp:coreProperties>
</file>