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66" w:rsidRPr="006E3B40" w:rsidRDefault="00E437A6" w:rsidP="008E3444">
      <w:pPr>
        <w:spacing w:after="0" w:line="240" w:lineRule="auto"/>
        <w:outlineLvl w:val="0"/>
        <w:rPr>
          <w:rFonts w:ascii="Cambria" w:hAnsi="Cambria" w:cs="Calibri"/>
          <w:b/>
          <w:bCs/>
          <w:kern w:val="28"/>
          <w:sz w:val="48"/>
          <w:szCs w:val="48"/>
        </w:rPr>
      </w:pPr>
      <w:r>
        <w:rPr>
          <w:rFonts w:ascii="Cambria" w:hAnsi="Cambria" w:cs="Calibri"/>
          <w:b/>
          <w:bCs/>
          <w:kern w:val="28"/>
          <w:sz w:val="48"/>
          <w:szCs w:val="48"/>
        </w:rPr>
        <w:t xml:space="preserve"> </w:t>
      </w:r>
      <w:r w:rsidR="004A0466" w:rsidRPr="006E3B40">
        <w:rPr>
          <w:rFonts w:ascii="Cambria" w:hAnsi="Cambria" w:cs="Calibri"/>
          <w:b/>
          <w:bCs/>
          <w:kern w:val="28"/>
          <w:sz w:val="48"/>
          <w:szCs w:val="48"/>
        </w:rPr>
        <w:t>NewYork-Presbyterian/Queens PPS</w:t>
      </w:r>
    </w:p>
    <w:p w:rsidR="004A0466" w:rsidRPr="006E3B40" w:rsidRDefault="00563899" w:rsidP="008E3444">
      <w:pPr>
        <w:pStyle w:val="NoSpacing"/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Project </w:t>
      </w:r>
      <w:r w:rsidR="00266E15">
        <w:rPr>
          <w:rFonts w:ascii="Cambria" w:hAnsi="Cambria"/>
          <w:sz w:val="28"/>
        </w:rPr>
        <w:t>2.b.v</w:t>
      </w:r>
      <w:r w:rsidR="00312862">
        <w:rPr>
          <w:rFonts w:ascii="Cambria" w:hAnsi="Cambria"/>
          <w:sz w:val="28"/>
        </w:rPr>
        <w:t>iii</w:t>
      </w:r>
      <w:r>
        <w:rPr>
          <w:rFonts w:ascii="Cambria" w:hAnsi="Cambria"/>
          <w:sz w:val="28"/>
        </w:rPr>
        <w:t xml:space="preserve"> –</w:t>
      </w:r>
      <w:r w:rsidR="00312862">
        <w:rPr>
          <w:rFonts w:ascii="Cambria" w:hAnsi="Cambria"/>
          <w:sz w:val="28"/>
        </w:rPr>
        <w:t>HHC</w:t>
      </w:r>
    </w:p>
    <w:p w:rsidR="00231684" w:rsidRDefault="00231684" w:rsidP="00231684">
      <w:pPr>
        <w:spacing w:after="0" w:line="240" w:lineRule="auto"/>
        <w:jc w:val="center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Project Committee Meeting</w:t>
      </w:r>
    </w:p>
    <w:p w:rsidR="004A0466" w:rsidRPr="006E3B40" w:rsidRDefault="00C703F2" w:rsidP="00231684">
      <w:pPr>
        <w:spacing w:after="0" w:line="240" w:lineRule="auto"/>
        <w:jc w:val="center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March 27, 2017</w:t>
      </w:r>
      <w:r w:rsidR="000D0DE5">
        <w:rPr>
          <w:rFonts w:ascii="Cambria" w:hAnsi="Cambria" w:cs="Calibri"/>
          <w:i/>
        </w:rPr>
        <w:t xml:space="preserve"> </w:t>
      </w:r>
      <w:r w:rsidR="00312862">
        <w:rPr>
          <w:rFonts w:ascii="Cambria" w:hAnsi="Cambria" w:cs="Calibri"/>
          <w:i/>
        </w:rPr>
        <w:t>2</w:t>
      </w:r>
      <w:r w:rsidR="00266E15">
        <w:rPr>
          <w:rFonts w:ascii="Cambria" w:hAnsi="Cambria" w:cs="Calibri"/>
          <w:i/>
        </w:rPr>
        <w:t>:</w:t>
      </w:r>
      <w:r w:rsidR="00312862">
        <w:rPr>
          <w:rFonts w:ascii="Cambria" w:hAnsi="Cambria" w:cs="Calibri"/>
          <w:i/>
        </w:rPr>
        <w:t>00</w:t>
      </w:r>
      <w:r w:rsidR="00266E15">
        <w:rPr>
          <w:rFonts w:ascii="Cambria" w:hAnsi="Cambria" w:cs="Calibri"/>
          <w:i/>
        </w:rPr>
        <w:t>pm</w:t>
      </w:r>
      <w:r w:rsidR="004A0466" w:rsidRPr="006E3B40">
        <w:rPr>
          <w:rFonts w:ascii="Cambria" w:hAnsi="Cambria" w:cs="Calibri"/>
          <w:i/>
        </w:rPr>
        <w:t xml:space="preserve"> –</w:t>
      </w:r>
      <w:r w:rsidR="00312862">
        <w:rPr>
          <w:rFonts w:ascii="Cambria" w:hAnsi="Cambria" w:cs="Calibri"/>
          <w:i/>
        </w:rPr>
        <w:t>2</w:t>
      </w:r>
      <w:r w:rsidR="00266E15">
        <w:rPr>
          <w:rFonts w:ascii="Cambria" w:hAnsi="Cambria" w:cs="Calibri"/>
          <w:i/>
        </w:rPr>
        <w:t>:</w:t>
      </w:r>
      <w:r w:rsidR="00312862">
        <w:rPr>
          <w:rFonts w:ascii="Cambria" w:hAnsi="Cambria" w:cs="Calibri"/>
          <w:i/>
        </w:rPr>
        <w:t>4</w:t>
      </w:r>
      <w:r w:rsidR="00266E15">
        <w:rPr>
          <w:rFonts w:ascii="Cambria" w:hAnsi="Cambria" w:cs="Calibri"/>
          <w:i/>
        </w:rPr>
        <w:t>5</w:t>
      </w:r>
      <w:r w:rsidR="00563899">
        <w:rPr>
          <w:rFonts w:ascii="Cambria" w:hAnsi="Cambria" w:cs="Calibri"/>
          <w:i/>
        </w:rPr>
        <w:t>pm</w:t>
      </w:r>
      <w:r w:rsidR="004A0466" w:rsidRPr="006E3B40">
        <w:rPr>
          <w:rFonts w:ascii="Cambria" w:hAnsi="Cambria" w:cs="Calibri"/>
          <w:i/>
        </w:rPr>
        <w:t xml:space="preserve"> EST</w:t>
      </w:r>
    </w:p>
    <w:p w:rsidR="004A0466" w:rsidRPr="006E3B40" w:rsidRDefault="004A0466" w:rsidP="008E3444">
      <w:pPr>
        <w:tabs>
          <w:tab w:val="left" w:pos="7864"/>
        </w:tabs>
        <w:spacing w:after="0" w:line="240" w:lineRule="auto"/>
        <w:rPr>
          <w:rFonts w:ascii="Cambria" w:hAnsi="Cambria" w:cs="Calibri"/>
          <w:i/>
        </w:rPr>
      </w:pPr>
      <w:r w:rsidRPr="006E3B40">
        <w:rPr>
          <w:rFonts w:ascii="Cambria" w:hAnsi="Cambria" w:cs="Calibri"/>
          <w:i/>
        </w:rPr>
        <w:tab/>
      </w:r>
    </w:p>
    <w:p w:rsidR="004A0466" w:rsidRPr="006E3B40" w:rsidRDefault="004A0466" w:rsidP="008E3444">
      <w:pPr>
        <w:rPr>
          <w:rFonts w:ascii="Cambria" w:hAnsi="Cambria" w:cs="Calibri"/>
        </w:rPr>
      </w:pPr>
      <w:r w:rsidRPr="006E3B40">
        <w:rPr>
          <w:rFonts w:ascii="Cambria" w:hAnsi="Cambria" w:cs="Calibri"/>
          <w:b/>
          <w:bCs/>
          <w:sz w:val="24"/>
          <w:szCs w:val="24"/>
        </w:rPr>
        <w:t>Attendees</w:t>
      </w:r>
      <w:r w:rsidRPr="006E3B40">
        <w:rPr>
          <w:rFonts w:ascii="Cambria" w:hAnsi="Cambria" w:cs="Calibri"/>
        </w:rPr>
        <w:t xml:space="preserve">: </w:t>
      </w:r>
      <w:r w:rsidR="00195BE1">
        <w:rPr>
          <w:rFonts w:ascii="Cambria" w:hAnsi="Cambria" w:cs="Calibri"/>
        </w:rPr>
        <w:t xml:space="preserve"> </w:t>
      </w:r>
      <w:r w:rsidR="00C703F2">
        <w:rPr>
          <w:rFonts w:ascii="Cambria" w:hAnsi="Cambria" w:cs="Calibri"/>
        </w:rPr>
        <w:t xml:space="preserve">S. </w:t>
      </w:r>
      <w:r w:rsidR="00312862">
        <w:rPr>
          <w:rFonts w:ascii="Cambria" w:hAnsi="Cambria" w:cs="Calibri"/>
        </w:rPr>
        <w:t xml:space="preserve">Kalinowski (NYPQ), S. Shuman (Parker Jewish), M. D’Urso (NYPQ), S. </w:t>
      </w:r>
      <w:r w:rsidR="00C703F2">
        <w:rPr>
          <w:rFonts w:ascii="Cambria" w:hAnsi="Cambria" w:cs="Calibri"/>
        </w:rPr>
        <w:t>Smith (MJHS)</w:t>
      </w:r>
      <w:r w:rsidR="00312862">
        <w:rPr>
          <w:rFonts w:ascii="Cambria" w:hAnsi="Cambria" w:cs="Calibri"/>
        </w:rPr>
        <w:t>, f. Emmanuel (Centerlight CHHA)</w:t>
      </w:r>
      <w:r w:rsidR="00195BE1">
        <w:rPr>
          <w:rFonts w:ascii="Cambria" w:hAnsi="Cambria" w:cs="Calibri"/>
        </w:rPr>
        <w:t xml:space="preserve"> </w:t>
      </w:r>
      <w:r w:rsidR="00C703F2">
        <w:rPr>
          <w:rFonts w:ascii="Cambria" w:hAnsi="Cambria" w:cs="Calibri"/>
        </w:rPr>
        <w:t xml:space="preserve">,Jennifer Lo (VNSNY),  C. Duffy (St. Mary’s ), </w:t>
      </w:r>
      <w:r w:rsidR="00312862">
        <w:rPr>
          <w:rFonts w:ascii="Cambria" w:hAnsi="Cambria" w:cs="Calibri"/>
        </w:rPr>
        <w:t>C. Keane (NYPQ), G. Aldon (Revival), S. Choudhury (NYPQ), M. Hay (NYPQ)</w:t>
      </w:r>
      <w:r w:rsidR="00195BE1">
        <w:rPr>
          <w:rFonts w:ascii="Cambria" w:hAnsi="Cambria" w:cs="Calibri"/>
        </w:rPr>
        <w:t xml:space="preserve"> C.Dunkley (NYPQ)</w:t>
      </w:r>
    </w:p>
    <w:tbl>
      <w:tblPr>
        <w:tblW w:w="550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5514"/>
        <w:gridCol w:w="2655"/>
      </w:tblGrid>
      <w:tr w:rsidR="00F94DC0" w:rsidRPr="006E3B40" w:rsidTr="00F94DC0">
        <w:trPr>
          <w:cantSplit/>
          <w:trHeight w:val="415"/>
          <w:tblHeader/>
        </w:trPr>
        <w:tc>
          <w:tcPr>
            <w:tcW w:w="1129" w:type="pct"/>
            <w:shd w:val="clear" w:color="auto" w:fill="365F91"/>
          </w:tcPr>
          <w:p w:rsidR="00F94DC0" w:rsidRPr="006E3B40" w:rsidRDefault="00F94DC0" w:rsidP="008E3444">
            <w:pPr>
              <w:widowControl w:val="0"/>
              <w:spacing w:line="240" w:lineRule="auto"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F94DC0" w:rsidRPr="006E3B40" w:rsidRDefault="00F94DC0" w:rsidP="008E3444">
            <w:pPr>
              <w:widowControl w:val="0"/>
              <w:tabs>
                <w:tab w:val="center" w:pos="3537"/>
              </w:tabs>
              <w:spacing w:line="240" w:lineRule="auto"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>Discussion</w:t>
            </w:r>
            <w:r w:rsidRPr="006E3B40">
              <w:rPr>
                <w:rFonts w:ascii="Cambria" w:hAnsi="Cambria" w:cs="Calibri"/>
                <w:b/>
                <w:bCs/>
              </w:rPr>
              <w:tab/>
            </w:r>
          </w:p>
        </w:tc>
        <w:tc>
          <w:tcPr>
            <w:tcW w:w="1258" w:type="pct"/>
            <w:shd w:val="clear" w:color="auto" w:fill="365F91"/>
          </w:tcPr>
          <w:p w:rsidR="00F94DC0" w:rsidRPr="006E3B40" w:rsidRDefault="00F94DC0" w:rsidP="008E3444">
            <w:pPr>
              <w:widowControl w:val="0"/>
              <w:spacing w:line="240" w:lineRule="auto"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>Actions</w:t>
            </w:r>
          </w:p>
        </w:tc>
      </w:tr>
      <w:tr w:rsidR="00F94DC0" w:rsidRPr="006E3B40" w:rsidTr="00F94DC0">
        <w:trPr>
          <w:trHeight w:val="348"/>
        </w:trPr>
        <w:tc>
          <w:tcPr>
            <w:tcW w:w="1129" w:type="pct"/>
          </w:tcPr>
          <w:p w:rsidR="00F94DC0" w:rsidRPr="006E3B40" w:rsidRDefault="00F94DC0" w:rsidP="008E3444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Cambria" w:hAnsi="Cambria" w:cs="Calibri"/>
                <w:b/>
                <w:bCs/>
              </w:rPr>
            </w:pPr>
            <w:r w:rsidRPr="006E3B40">
              <w:rPr>
                <w:rFonts w:ascii="Cambria" w:hAnsi="Cambria" w:cs="Calibri"/>
                <w:b/>
                <w:bCs/>
              </w:rPr>
              <w:t xml:space="preserve"> Agenda:</w:t>
            </w:r>
          </w:p>
          <w:p w:rsidR="00F94DC0" w:rsidRPr="006E3B40" w:rsidRDefault="00F94DC0" w:rsidP="008E3444">
            <w:pPr>
              <w:widowControl w:val="0"/>
              <w:spacing w:line="240" w:lineRule="auto"/>
              <w:ind w:left="720"/>
              <w:contextualSpacing/>
              <w:rPr>
                <w:rFonts w:ascii="Cambria" w:hAnsi="Cambria" w:cs="Calibri"/>
                <w:bCs/>
              </w:rPr>
            </w:pPr>
          </w:p>
        </w:tc>
        <w:tc>
          <w:tcPr>
            <w:tcW w:w="2613" w:type="pct"/>
          </w:tcPr>
          <w:p w:rsidR="00F94DC0" w:rsidRPr="006E3B40" w:rsidRDefault="00F94DC0" w:rsidP="008E344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 w:rsidRPr="006E3B40">
              <w:rPr>
                <w:rFonts w:ascii="Cambria" w:hAnsi="Cambria" w:cs="Calibri"/>
                <w:bCs/>
              </w:rPr>
              <w:t>Welcome &amp; Purpose</w:t>
            </w:r>
          </w:p>
          <w:p w:rsidR="00C703F2" w:rsidRDefault="00C703F2" w:rsidP="008F0E9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Approve Meeting Minutes</w:t>
            </w:r>
          </w:p>
          <w:p w:rsidR="00266E15" w:rsidRDefault="00266E15" w:rsidP="008F0E9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Status Updates on DY2Q4</w:t>
            </w:r>
          </w:p>
          <w:p w:rsidR="00266E15" w:rsidRPr="00312862" w:rsidRDefault="00312862" w:rsidP="00D011E1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 w:rsidRPr="00312862">
              <w:rPr>
                <w:rFonts w:ascii="Cambria" w:hAnsi="Cambria" w:cs="Calibri"/>
                <w:bCs/>
              </w:rPr>
              <w:t>DY3 Deliverables</w:t>
            </w:r>
          </w:p>
          <w:p w:rsidR="008F0E92" w:rsidRPr="00312862" w:rsidRDefault="00C703F2" w:rsidP="0031286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MOLST &amp; Emolst tr</w:t>
            </w:r>
            <w:r w:rsidR="00266E15">
              <w:rPr>
                <w:rFonts w:ascii="Cambria" w:hAnsi="Cambria" w:cs="Calibri"/>
                <w:bCs/>
              </w:rPr>
              <w:t xml:space="preserve">aining and Implementation </w:t>
            </w:r>
          </w:p>
        </w:tc>
        <w:tc>
          <w:tcPr>
            <w:tcW w:w="1258" w:type="pct"/>
          </w:tcPr>
          <w:p w:rsidR="00F94DC0" w:rsidRPr="006E3B40" w:rsidRDefault="00F94DC0" w:rsidP="008E3444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</w:rPr>
            </w:pPr>
            <w:r w:rsidRPr="006E3B40">
              <w:rPr>
                <w:rFonts w:ascii="Cambria" w:hAnsi="Cambria" w:cs="Calibri"/>
              </w:rPr>
              <w:t>N/A</w:t>
            </w:r>
          </w:p>
        </w:tc>
      </w:tr>
      <w:tr w:rsidR="00F94DC0" w:rsidRPr="006E3B40" w:rsidTr="00F94DC0">
        <w:trPr>
          <w:trHeight w:val="1002"/>
        </w:trPr>
        <w:tc>
          <w:tcPr>
            <w:tcW w:w="1129" w:type="pct"/>
          </w:tcPr>
          <w:p w:rsidR="00C703F2" w:rsidRDefault="00C703F2" w:rsidP="00C703F2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Approve Meeting Minutes</w:t>
            </w:r>
            <w:r w:rsidR="008F0E92">
              <w:rPr>
                <w:rFonts w:ascii="Cambria" w:hAnsi="Cambria" w:cs="Calibri"/>
                <w:b/>
                <w:bCs/>
              </w:rPr>
              <w:t xml:space="preserve"> :</w:t>
            </w:r>
            <w:r w:rsidR="00F94DC0">
              <w:rPr>
                <w:rFonts w:ascii="Cambria" w:hAnsi="Cambria" w:cs="Calibri"/>
                <w:bCs/>
              </w:rPr>
              <w:t xml:space="preserve"> </w:t>
            </w:r>
          </w:p>
          <w:p w:rsidR="00F94DC0" w:rsidRPr="00231684" w:rsidRDefault="00F94DC0" w:rsidP="00C703F2">
            <w:pPr>
              <w:widowControl w:val="0"/>
              <w:spacing w:line="240" w:lineRule="auto"/>
              <w:ind w:left="720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 xml:space="preserve"> </w:t>
            </w:r>
            <w:r w:rsidR="00C703F2">
              <w:rPr>
                <w:rFonts w:ascii="Cambria" w:hAnsi="Cambria" w:cs="Calibri"/>
                <w:bCs/>
              </w:rPr>
              <w:t>C. Keane</w:t>
            </w:r>
          </w:p>
        </w:tc>
        <w:tc>
          <w:tcPr>
            <w:tcW w:w="2613" w:type="pct"/>
          </w:tcPr>
          <w:p w:rsidR="00F94DC0" w:rsidRPr="008F0E92" w:rsidRDefault="00C703F2" w:rsidP="00C703F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The Committee reviewed the meeting minutes from 2/27/17</w:t>
            </w:r>
          </w:p>
        </w:tc>
        <w:tc>
          <w:tcPr>
            <w:tcW w:w="1258" w:type="pct"/>
          </w:tcPr>
          <w:p w:rsidR="00F94DC0" w:rsidRPr="00C1289A" w:rsidRDefault="008118E8" w:rsidP="008118E8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The Committee unanimously approved the meeting minutes.</w:t>
            </w:r>
          </w:p>
        </w:tc>
      </w:tr>
      <w:tr w:rsidR="00266E15" w:rsidRPr="006E3B40" w:rsidTr="00F94DC0">
        <w:trPr>
          <w:trHeight w:val="1314"/>
        </w:trPr>
        <w:tc>
          <w:tcPr>
            <w:tcW w:w="1129" w:type="pct"/>
          </w:tcPr>
          <w:p w:rsidR="00266E15" w:rsidRDefault="00266E15" w:rsidP="00C1289A">
            <w:pPr>
              <w:numPr>
                <w:ilvl w:val="0"/>
                <w:numId w:val="3"/>
              </w:numPr>
              <w:contextualSpacing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Status Updates on DY2Q4:</w:t>
            </w:r>
          </w:p>
          <w:p w:rsidR="00266E15" w:rsidRPr="00266E15" w:rsidRDefault="00312862" w:rsidP="00266E15">
            <w:pPr>
              <w:ind w:left="720"/>
              <w:contextualSpacing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C. Keane/C. Dunkley</w:t>
            </w:r>
          </w:p>
        </w:tc>
        <w:tc>
          <w:tcPr>
            <w:tcW w:w="2613" w:type="pct"/>
            <w:vAlign w:val="center"/>
          </w:tcPr>
          <w:p w:rsidR="00266E15" w:rsidRDefault="00266E15" w:rsidP="00312862">
            <w:pPr>
              <w:pStyle w:val="Header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The PMO reviewed the deliverables and metrics including INTERACT implementation, Care Plans, Benchmark data, &amp; </w:t>
            </w:r>
            <w:r w:rsidR="00312862">
              <w:rPr>
                <w:rFonts w:ascii="Times New Roman" w:hAnsi="Times New Roman"/>
                <w:color w:val="000000"/>
              </w:rPr>
              <w:t>Evidence Based materials pending from HHC</w:t>
            </w:r>
            <w:r>
              <w:rPr>
                <w:rFonts w:ascii="Times New Roman" w:hAnsi="Times New Roman"/>
                <w:color w:val="000000"/>
              </w:rPr>
              <w:t xml:space="preserve"> Partners.</w:t>
            </w:r>
          </w:p>
        </w:tc>
        <w:tc>
          <w:tcPr>
            <w:tcW w:w="1258" w:type="pct"/>
          </w:tcPr>
          <w:p w:rsidR="00266E15" w:rsidRDefault="00266E15" w:rsidP="008118E8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Please send in any pending deliverables to the PMO</w:t>
            </w:r>
          </w:p>
        </w:tc>
      </w:tr>
      <w:tr w:rsidR="00312862" w:rsidRPr="006E3B40" w:rsidTr="00F94DC0">
        <w:trPr>
          <w:trHeight w:val="1314"/>
        </w:trPr>
        <w:tc>
          <w:tcPr>
            <w:tcW w:w="1129" w:type="pct"/>
          </w:tcPr>
          <w:p w:rsidR="00312862" w:rsidRDefault="00312862" w:rsidP="00312862">
            <w:pPr>
              <w:numPr>
                <w:ilvl w:val="0"/>
                <w:numId w:val="3"/>
              </w:numPr>
              <w:contextualSpacing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DY3 Deliverables:</w:t>
            </w:r>
          </w:p>
          <w:p w:rsidR="00312862" w:rsidRPr="00312862" w:rsidRDefault="00312862" w:rsidP="00312862">
            <w:pPr>
              <w:ind w:left="360"/>
              <w:contextualSpacing/>
              <w:rPr>
                <w:rFonts w:ascii="Cambria" w:hAnsi="Cambria" w:cs="Calibri"/>
                <w:bCs/>
              </w:rPr>
            </w:pPr>
            <w:r w:rsidRPr="00312862">
              <w:rPr>
                <w:rFonts w:ascii="Cambria" w:hAnsi="Cambria" w:cs="Calibri"/>
                <w:bCs/>
              </w:rPr>
              <w:t xml:space="preserve"> S. Choudhury </w:t>
            </w:r>
          </w:p>
        </w:tc>
        <w:tc>
          <w:tcPr>
            <w:tcW w:w="2613" w:type="pct"/>
            <w:vAlign w:val="center"/>
          </w:tcPr>
          <w:p w:rsidR="00312862" w:rsidRDefault="00312862" w:rsidP="00312862">
            <w:pPr>
              <w:pStyle w:val="Head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12862" w:rsidRPr="00E52AD1" w:rsidRDefault="00312862" w:rsidP="00312862">
            <w:pPr>
              <w:pStyle w:val="Head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52AD1">
              <w:rPr>
                <w:rFonts w:ascii="Times New Roman" w:hAnsi="Times New Roman"/>
                <w:b/>
                <w:color w:val="000000"/>
                <w:sz w:val="24"/>
              </w:rPr>
              <w:t xml:space="preserve">DY3 Deliverables: </w:t>
            </w: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 w:rsidRPr="00DF4053">
              <w:rPr>
                <w:rFonts w:ascii="Times New Roman" w:hAnsi="Times New Roman"/>
                <w:b/>
                <w:i/>
                <w:color w:val="000000"/>
                <w:sz w:val="24"/>
              </w:rPr>
              <w:t>Milestone# 8: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0E82">
              <w:rPr>
                <w:rFonts w:ascii="Times New Roman" w:hAnsi="Times New Roman"/>
                <w:color w:val="000000"/>
                <w:sz w:val="24"/>
              </w:rPr>
              <w:t>Integrate primary care, behavioral health, pharmacy, and other services into the model in order to enhance coordination of care and medication management.</w:t>
            </w:r>
          </w:p>
          <w:p w:rsidR="00312862" w:rsidRPr="00DF4053" w:rsidRDefault="00312862" w:rsidP="00312862">
            <w:pPr>
              <w:pStyle w:val="Head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 w:rsidRPr="00DF4053">
              <w:rPr>
                <w:rFonts w:ascii="Times New Roman" w:hAnsi="Times New Roman"/>
                <w:b/>
                <w:i/>
                <w:color w:val="000000"/>
                <w:sz w:val="24"/>
              </w:rPr>
              <w:t>Metric/Deliverable: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0E82">
              <w:rPr>
                <w:rFonts w:ascii="Times New Roman" w:hAnsi="Times New Roman"/>
                <w:color w:val="000000"/>
                <w:sz w:val="24"/>
              </w:rPr>
              <w:t>All relevant services (physical, behavioral, pharmacological) integrated into care and medication management model.</w:t>
            </w: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 w:rsidRPr="00DF4053">
              <w:rPr>
                <w:rFonts w:ascii="Times New Roman" w:hAnsi="Times New Roman"/>
                <w:b/>
                <w:i/>
                <w:color w:val="000000"/>
                <w:sz w:val="24"/>
              </w:rPr>
              <w:t>Minimum Documentation: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Care Coordination methodology, list of all participating services, medication management methodology</w:t>
            </w:r>
          </w:p>
          <w:p w:rsidR="007A146C" w:rsidRDefault="007A146C" w:rsidP="007A146C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How do you use Medication management? List all services and who perform these services. What is your methodology?</w:t>
            </w: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-----------------------------------------------------</w:t>
            </w: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 w:rsidRPr="00DF4053">
              <w:rPr>
                <w:rFonts w:ascii="Times New Roman" w:hAnsi="Times New Roman"/>
                <w:b/>
                <w:i/>
                <w:color w:val="000000"/>
                <w:sz w:val="24"/>
              </w:rPr>
              <w:t>Milestone# 9: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0E82">
              <w:rPr>
                <w:rFonts w:ascii="Times New Roman" w:hAnsi="Times New Roman"/>
                <w:color w:val="000000"/>
                <w:sz w:val="24"/>
              </w:rPr>
              <w:t>Utilize telehealth/telemedicine to enhance hospital-home care collaborations.</w:t>
            </w: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 w:rsidRPr="00DF4053">
              <w:rPr>
                <w:rFonts w:ascii="Times New Roman" w:hAnsi="Times New Roman"/>
                <w:b/>
                <w:i/>
                <w:color w:val="000000"/>
                <w:sz w:val="24"/>
              </w:rPr>
              <w:t>Metric/Deliverable: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50E82">
              <w:rPr>
                <w:rFonts w:ascii="Times New Roman" w:hAnsi="Times New Roman"/>
                <w:color w:val="000000"/>
                <w:sz w:val="24"/>
              </w:rPr>
              <w:t>Telehealth/telemedicine program established to provide care transition services, prevent avoidable hospital use, and increase specialty expertise of PCPs and staff.</w:t>
            </w: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</w:p>
          <w:p w:rsidR="00312862" w:rsidRDefault="00312862" w:rsidP="00312862">
            <w:pPr>
              <w:pStyle w:val="Header"/>
              <w:rPr>
                <w:rFonts w:ascii="Times New Roman" w:hAnsi="Times New Roman"/>
                <w:color w:val="000000"/>
                <w:sz w:val="24"/>
              </w:rPr>
            </w:pPr>
            <w:r w:rsidRPr="00DF4053">
              <w:rPr>
                <w:rFonts w:ascii="Times New Roman" w:hAnsi="Times New Roman"/>
                <w:b/>
                <w:i/>
                <w:color w:val="000000"/>
                <w:sz w:val="24"/>
              </w:rPr>
              <w:t>Minimum Documentation: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Implementation plan; evidence of use of telemedicine services</w:t>
            </w:r>
          </w:p>
          <w:p w:rsidR="007A146C" w:rsidRDefault="007A146C" w:rsidP="007A146C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St. Mary’s is currently using it for Asthma, respiratory and Seizures.</w:t>
            </w:r>
          </w:p>
          <w:p w:rsidR="007A146C" w:rsidRDefault="007A146C" w:rsidP="007A146C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Parker Jewish is currently not using it</w:t>
            </w:r>
          </w:p>
          <w:p w:rsidR="007A146C" w:rsidRDefault="007A146C" w:rsidP="007A146C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Centerlight is currently not using Telehealth. </w:t>
            </w:r>
          </w:p>
        </w:tc>
        <w:tc>
          <w:tcPr>
            <w:tcW w:w="1258" w:type="pct"/>
          </w:tcPr>
          <w:p w:rsidR="00312862" w:rsidRDefault="007A146C" w:rsidP="007A146C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 PMO will create a DY3 Tracker for the partners.</w:t>
            </w: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rPr>
                <w:rFonts w:ascii="Times New Roman" w:hAnsi="Times New Roman"/>
                <w:color w:val="000000"/>
              </w:rPr>
            </w:pPr>
          </w:p>
          <w:p w:rsidR="007A146C" w:rsidRDefault="007A146C" w:rsidP="007A146C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Please send PMO proof of telemedicine in the HHC </w:t>
            </w:r>
          </w:p>
          <w:p w:rsidR="007A146C" w:rsidRDefault="007A146C" w:rsidP="007A146C">
            <w:pPr>
              <w:pStyle w:val="Header"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312862" w:rsidRPr="006E3B40" w:rsidTr="00F94DC0">
        <w:trPr>
          <w:trHeight w:val="1314"/>
        </w:trPr>
        <w:tc>
          <w:tcPr>
            <w:tcW w:w="1129" w:type="pct"/>
          </w:tcPr>
          <w:p w:rsidR="00312862" w:rsidRDefault="00312862" w:rsidP="00312862">
            <w:pPr>
              <w:numPr>
                <w:ilvl w:val="0"/>
                <w:numId w:val="3"/>
              </w:numPr>
              <w:contextualSpacing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MOLST and Emolst Training and Implementation Update :</w:t>
            </w:r>
          </w:p>
          <w:p w:rsidR="00312862" w:rsidRPr="00C1289A" w:rsidRDefault="00312862" w:rsidP="00312862">
            <w:pPr>
              <w:ind w:left="720"/>
              <w:contextualSpacing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Cs/>
              </w:rPr>
              <w:t>C. Keane/S. Choudhury</w:t>
            </w:r>
          </w:p>
        </w:tc>
        <w:tc>
          <w:tcPr>
            <w:tcW w:w="2613" w:type="pct"/>
            <w:vAlign w:val="center"/>
          </w:tcPr>
          <w:p w:rsidR="00312862" w:rsidRDefault="00312862" w:rsidP="00312862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Dr. Bomba hosed a Webinar on MOLST on March 16 2017 for SNF and HHC Partners with follow up questions on implementation in the facility.</w:t>
            </w:r>
          </w:p>
          <w:p w:rsidR="00312862" w:rsidRDefault="00312862" w:rsidP="00312862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There will be upcoming trainings in-person in April and May after further discuss with Dr. Bomba.</w:t>
            </w:r>
          </w:p>
          <w:p w:rsidR="00312862" w:rsidRDefault="00312862" w:rsidP="00312862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Please send in proof of MOLST documentation from all SNFs to meet the DY2Q4 deliverable.</w:t>
            </w:r>
          </w:p>
          <w:p w:rsidR="00312862" w:rsidRPr="00C452B2" w:rsidRDefault="00312862" w:rsidP="00312862">
            <w:pPr>
              <w:pStyle w:val="Head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8" w:type="pct"/>
          </w:tcPr>
          <w:p w:rsidR="00312862" w:rsidRDefault="00312862" w:rsidP="00312862">
            <w:pPr>
              <w:pStyle w:val="Header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Please send in proof of MOLST documentation from all SNFs to meet the DY2Q4 deliverable.</w:t>
            </w:r>
          </w:p>
          <w:p w:rsidR="00312862" w:rsidRPr="008118E8" w:rsidRDefault="00312862" w:rsidP="00312862">
            <w:pPr>
              <w:rPr>
                <w:rFonts w:ascii="Cambria" w:hAnsi="Cambria" w:cs="Calibri"/>
                <w:bCs/>
              </w:rPr>
            </w:pPr>
          </w:p>
        </w:tc>
      </w:tr>
    </w:tbl>
    <w:p w:rsidR="004A0466" w:rsidRDefault="004A0466" w:rsidP="00B85675"/>
    <w:sectPr w:rsidR="004A0466" w:rsidSect="003228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26" w:rsidRDefault="00190E26" w:rsidP="008E3444">
      <w:pPr>
        <w:spacing w:after="0" w:line="240" w:lineRule="auto"/>
      </w:pPr>
      <w:r>
        <w:separator/>
      </w:r>
    </w:p>
  </w:endnote>
  <w:endnote w:type="continuationSeparator" w:id="0">
    <w:p w:rsidR="00190E26" w:rsidRDefault="00190E26" w:rsidP="008E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26" w:rsidRDefault="00190E26" w:rsidP="008E3444">
      <w:pPr>
        <w:spacing w:after="0" w:line="240" w:lineRule="auto"/>
      </w:pPr>
      <w:r>
        <w:separator/>
      </w:r>
    </w:p>
  </w:footnote>
  <w:footnote w:type="continuationSeparator" w:id="0">
    <w:p w:rsidR="00190E26" w:rsidRDefault="00190E26" w:rsidP="008E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66" w:rsidRDefault="00FE40C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-14605</wp:posOffset>
          </wp:positionH>
          <wp:positionV relativeFrom="margin">
            <wp:posOffset>-483870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466" w:rsidRDefault="004A0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A5D"/>
    <w:multiLevelType w:val="hybridMultilevel"/>
    <w:tmpl w:val="6BE4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7C60"/>
    <w:multiLevelType w:val="hybridMultilevel"/>
    <w:tmpl w:val="80CC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8C1"/>
    <w:multiLevelType w:val="hybridMultilevel"/>
    <w:tmpl w:val="AFD2B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F0714"/>
    <w:multiLevelType w:val="hybridMultilevel"/>
    <w:tmpl w:val="47F28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61EF1"/>
    <w:multiLevelType w:val="hybridMultilevel"/>
    <w:tmpl w:val="BF26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140A"/>
    <w:multiLevelType w:val="hybridMultilevel"/>
    <w:tmpl w:val="FBEC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E4827"/>
    <w:multiLevelType w:val="hybridMultilevel"/>
    <w:tmpl w:val="E8CA4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53199"/>
    <w:multiLevelType w:val="hybridMultilevel"/>
    <w:tmpl w:val="0D4EC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1180"/>
    <w:multiLevelType w:val="hybridMultilevel"/>
    <w:tmpl w:val="3104E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D1BF5"/>
    <w:multiLevelType w:val="hybridMultilevel"/>
    <w:tmpl w:val="6054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06857"/>
    <w:multiLevelType w:val="hybridMultilevel"/>
    <w:tmpl w:val="1DE89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658D1"/>
    <w:multiLevelType w:val="hybridMultilevel"/>
    <w:tmpl w:val="1202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77C94"/>
    <w:multiLevelType w:val="hybridMultilevel"/>
    <w:tmpl w:val="BCA0F510"/>
    <w:lvl w:ilvl="0" w:tplc="E85A8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D63BD7"/>
    <w:multiLevelType w:val="hybridMultilevel"/>
    <w:tmpl w:val="3A84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45FD3789"/>
    <w:multiLevelType w:val="hybridMultilevel"/>
    <w:tmpl w:val="035E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03332"/>
    <w:multiLevelType w:val="hybridMultilevel"/>
    <w:tmpl w:val="6B6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43519"/>
    <w:multiLevelType w:val="hybridMultilevel"/>
    <w:tmpl w:val="2708DDEA"/>
    <w:lvl w:ilvl="0" w:tplc="445A9C3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3B165BA"/>
    <w:multiLevelType w:val="hybridMultilevel"/>
    <w:tmpl w:val="BD70F0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757BF"/>
    <w:multiLevelType w:val="hybridMultilevel"/>
    <w:tmpl w:val="11C88C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5F65699C"/>
    <w:multiLevelType w:val="hybridMultilevel"/>
    <w:tmpl w:val="BF580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8323E"/>
    <w:multiLevelType w:val="hybridMultilevel"/>
    <w:tmpl w:val="DD2A0D2E"/>
    <w:lvl w:ilvl="0" w:tplc="90C2094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4"/>
  </w:num>
  <w:num w:numId="8">
    <w:abstractNumId w:val="24"/>
  </w:num>
  <w:num w:numId="9">
    <w:abstractNumId w:val="9"/>
  </w:num>
  <w:num w:numId="10">
    <w:abstractNumId w:val="8"/>
  </w:num>
  <w:num w:numId="11">
    <w:abstractNumId w:val="0"/>
  </w:num>
  <w:num w:numId="12">
    <w:abstractNumId w:val="13"/>
  </w:num>
  <w:num w:numId="13">
    <w:abstractNumId w:val="22"/>
  </w:num>
  <w:num w:numId="14">
    <w:abstractNumId w:val="21"/>
  </w:num>
  <w:num w:numId="15">
    <w:abstractNumId w:val="3"/>
  </w:num>
  <w:num w:numId="16">
    <w:abstractNumId w:val="7"/>
  </w:num>
  <w:num w:numId="17">
    <w:abstractNumId w:val="1"/>
  </w:num>
  <w:num w:numId="18">
    <w:abstractNumId w:val="16"/>
  </w:num>
  <w:num w:numId="19">
    <w:abstractNumId w:val="17"/>
  </w:num>
  <w:num w:numId="20">
    <w:abstractNumId w:val="10"/>
  </w:num>
  <w:num w:numId="21">
    <w:abstractNumId w:val="14"/>
  </w:num>
  <w:num w:numId="22">
    <w:abstractNumId w:val="12"/>
  </w:num>
  <w:num w:numId="23">
    <w:abstractNumId w:val="20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44"/>
    <w:rsid w:val="00033F8B"/>
    <w:rsid w:val="00095D4E"/>
    <w:rsid w:val="00097D9B"/>
    <w:rsid w:val="000D0DE5"/>
    <w:rsid w:val="001060D1"/>
    <w:rsid w:val="00190E26"/>
    <w:rsid w:val="00195BE1"/>
    <w:rsid w:val="00197518"/>
    <w:rsid w:val="001A362C"/>
    <w:rsid w:val="001A62CA"/>
    <w:rsid w:val="001E75DC"/>
    <w:rsid w:val="002013C8"/>
    <w:rsid w:val="00231684"/>
    <w:rsid w:val="00266E15"/>
    <w:rsid w:val="00312862"/>
    <w:rsid w:val="003228E7"/>
    <w:rsid w:val="003462B1"/>
    <w:rsid w:val="00355494"/>
    <w:rsid w:val="00464F0A"/>
    <w:rsid w:val="0048110C"/>
    <w:rsid w:val="004A0466"/>
    <w:rsid w:val="004A0D24"/>
    <w:rsid w:val="004A769E"/>
    <w:rsid w:val="004B10C1"/>
    <w:rsid w:val="004E4E90"/>
    <w:rsid w:val="004F30F4"/>
    <w:rsid w:val="005233E8"/>
    <w:rsid w:val="00563899"/>
    <w:rsid w:val="0056672F"/>
    <w:rsid w:val="005F0FB9"/>
    <w:rsid w:val="005F64DC"/>
    <w:rsid w:val="006E3B40"/>
    <w:rsid w:val="006F1CC6"/>
    <w:rsid w:val="007434BE"/>
    <w:rsid w:val="007579CC"/>
    <w:rsid w:val="007A146C"/>
    <w:rsid w:val="007D197E"/>
    <w:rsid w:val="008118E8"/>
    <w:rsid w:val="00817CC4"/>
    <w:rsid w:val="00825E03"/>
    <w:rsid w:val="00843FAE"/>
    <w:rsid w:val="008E3444"/>
    <w:rsid w:val="008F0E92"/>
    <w:rsid w:val="0093130E"/>
    <w:rsid w:val="00946670"/>
    <w:rsid w:val="009655C1"/>
    <w:rsid w:val="0098684B"/>
    <w:rsid w:val="00987B72"/>
    <w:rsid w:val="009B528C"/>
    <w:rsid w:val="009C49BC"/>
    <w:rsid w:val="009C6ABF"/>
    <w:rsid w:val="009D5428"/>
    <w:rsid w:val="009E2F99"/>
    <w:rsid w:val="00A243C9"/>
    <w:rsid w:val="00AA1EA1"/>
    <w:rsid w:val="00AC31BE"/>
    <w:rsid w:val="00AD6C78"/>
    <w:rsid w:val="00AF39B2"/>
    <w:rsid w:val="00B36DE6"/>
    <w:rsid w:val="00B6523C"/>
    <w:rsid w:val="00B75EDF"/>
    <w:rsid w:val="00B855BF"/>
    <w:rsid w:val="00B85675"/>
    <w:rsid w:val="00B941D2"/>
    <w:rsid w:val="00BB49CF"/>
    <w:rsid w:val="00C1289A"/>
    <w:rsid w:val="00C17484"/>
    <w:rsid w:val="00C452B2"/>
    <w:rsid w:val="00C703F2"/>
    <w:rsid w:val="00CA2ED2"/>
    <w:rsid w:val="00CD3457"/>
    <w:rsid w:val="00CD3EEB"/>
    <w:rsid w:val="00D5058A"/>
    <w:rsid w:val="00D66DB5"/>
    <w:rsid w:val="00D73E7E"/>
    <w:rsid w:val="00DA0CEC"/>
    <w:rsid w:val="00DC5D48"/>
    <w:rsid w:val="00DE1D27"/>
    <w:rsid w:val="00E11F3C"/>
    <w:rsid w:val="00E437A6"/>
    <w:rsid w:val="00EB6A53"/>
    <w:rsid w:val="00EE62CB"/>
    <w:rsid w:val="00F048E0"/>
    <w:rsid w:val="00F10C93"/>
    <w:rsid w:val="00F4386C"/>
    <w:rsid w:val="00F94DC0"/>
    <w:rsid w:val="00FB6962"/>
    <w:rsid w:val="00FC1F8E"/>
    <w:rsid w:val="00FD13B1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919FB3C-ABB9-4C1A-A1AC-8FC09A2D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8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4386C"/>
    <w:pPr>
      <w:keepNext/>
      <w:keepLines/>
      <w:numPr>
        <w:numId w:val="13"/>
      </w:numPr>
      <w:spacing w:before="480" w:after="0"/>
      <w:outlineLvl w:val="0"/>
    </w:pPr>
    <w:rPr>
      <w:rFonts w:ascii="Helvetica LT Std" w:eastAsiaTheme="majorEastAsia" w:hAnsi="Helvetica LT Std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F4386C"/>
    <w:pPr>
      <w:keepNext/>
      <w:keepLines/>
      <w:numPr>
        <w:ilvl w:val="1"/>
        <w:numId w:val="13"/>
      </w:numPr>
      <w:spacing w:before="200" w:after="0"/>
      <w:outlineLvl w:val="1"/>
    </w:pPr>
    <w:rPr>
      <w:rFonts w:ascii="Helvetica LT Std" w:eastAsiaTheme="majorEastAsia" w:hAnsi="Helvetica LT St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4386C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4386C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4386C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4386C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4386C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4386C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4386C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E34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3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E34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34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E3444"/>
    <w:rPr>
      <w:rFonts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B652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386C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386C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8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86C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86C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8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86C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8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8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locked/>
    <w:rsid w:val="00195BE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NewYork-Presbyterian/Queens PPS</vt:lpstr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NewYork-Presbyterian/Queens PPS</dc:title>
  <dc:creator>Coleen Dunkley</dc:creator>
  <cp:lastModifiedBy>Jalen Faison</cp:lastModifiedBy>
  <cp:revision>1</cp:revision>
  <cp:lastPrinted>2016-03-21T14:53:00Z</cp:lastPrinted>
  <dcterms:created xsi:type="dcterms:W3CDTF">2017-05-02T13:52:00Z</dcterms:created>
  <dcterms:modified xsi:type="dcterms:W3CDTF">2017-05-02T13:52:00Z</dcterms:modified>
</cp:coreProperties>
</file>